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sz w:val="36"/>
          <w:szCs w:val="36"/>
          <w:lang w:eastAsia="zh-CN"/>
        </w:rPr>
      </w:pPr>
      <w:r>
        <w:rPr>
          <w:rFonts w:hint="eastAsia" w:ascii="黑体" w:hAnsi="黑体" w:eastAsia="黑体" w:cs="黑体"/>
          <w:sz w:val="36"/>
          <w:szCs w:val="36"/>
          <w:lang w:eastAsia="zh-CN"/>
        </w:rPr>
        <w:t>福州大学材料学院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2017届</w: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考研奖学金评定细则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24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/>
          <w:sz w:val="32"/>
          <w:szCs w:val="32"/>
          <w:lang w:eastAsia="zh-CN"/>
        </w:rPr>
      </w:pPr>
      <w:r>
        <w:rPr>
          <w:rFonts w:hint="default"/>
          <w:sz w:val="32"/>
          <w:szCs w:val="32"/>
          <w:lang w:eastAsia="zh-CN"/>
        </w:rPr>
        <w:t>材学〔2017〕</w:t>
      </w:r>
      <w:r>
        <w:rPr>
          <w:rFonts w:hint="default"/>
          <w:sz w:val="32"/>
          <w:szCs w:val="32"/>
          <w:lang w:val="en-US" w:eastAsia="zh-CN"/>
        </w:rPr>
        <w:t>7</w:t>
      </w:r>
      <w:r>
        <w:rPr>
          <w:rFonts w:hint="default"/>
          <w:sz w:val="32"/>
          <w:szCs w:val="32"/>
          <w:lang w:eastAsia="zh-CN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为弘扬材料学院优良传统，培育良好学风，鼓励引导广大学生考研，学院设立“考研奖学金”（含专业学位），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分别</w:t>
      </w:r>
      <w:r>
        <w:rPr>
          <w:rFonts w:hint="eastAsia" w:ascii="仿宋_GB2312" w:hAnsi="仿宋_GB2312" w:eastAsia="仿宋_GB2312" w:cs="仿宋_GB2312"/>
          <w:sz w:val="32"/>
          <w:szCs w:val="32"/>
        </w:rPr>
        <w:t>设立特等奖、一等奖、二等奖、三等奖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和优秀奖，其中：</w:t>
      </w:r>
      <w:r>
        <w:rPr>
          <w:rFonts w:hint="eastAsia" w:ascii="仿宋_GB2312" w:hAnsi="仿宋_GB2312" w:eastAsia="仿宋_GB2312" w:cs="仿宋_GB2312"/>
          <w:sz w:val="32"/>
          <w:szCs w:val="32"/>
        </w:rPr>
        <w:t>特等奖1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00元，一等奖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</w:rPr>
        <w:t>00元，二等奖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00元，三等奖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00元，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优秀奖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200元，</w:t>
      </w:r>
      <w:r>
        <w:rPr>
          <w:rFonts w:hint="eastAsia" w:ascii="仿宋_GB2312" w:hAnsi="仿宋_GB2312" w:eastAsia="仿宋_GB2312" w:cs="仿宋_GB2312"/>
          <w:sz w:val="32"/>
          <w:szCs w:val="32"/>
        </w:rPr>
        <w:t>评定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细则如下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64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一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、特等奖：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sz w:val="32"/>
          <w:szCs w:val="32"/>
        </w:rPr>
        <w:t>研究生入学考试成绩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370</w:t>
      </w:r>
      <w:r>
        <w:rPr>
          <w:rFonts w:hint="eastAsia" w:ascii="仿宋_GB2312" w:hAnsi="仿宋_GB2312" w:eastAsia="仿宋_GB2312" w:cs="仿宋_GB2312"/>
          <w:sz w:val="32"/>
          <w:szCs w:val="32"/>
        </w:rPr>
        <w:t>分以上（含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370</w:t>
      </w:r>
      <w:r>
        <w:rPr>
          <w:rFonts w:hint="eastAsia" w:ascii="仿宋_GB2312" w:hAnsi="仿宋_GB2312" w:eastAsia="仿宋_GB2312" w:cs="仿宋_GB2312"/>
          <w:sz w:val="32"/>
          <w:szCs w:val="32"/>
        </w:rPr>
        <w:t>分）且第一志愿被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本校</w:t>
      </w:r>
      <w:r>
        <w:rPr>
          <w:rFonts w:hint="eastAsia" w:ascii="仿宋_GB2312" w:hAnsi="仿宋_GB2312" w:eastAsia="仿宋_GB2312" w:cs="仿宋_GB2312"/>
          <w:sz w:val="32"/>
          <w:szCs w:val="32"/>
        </w:rPr>
        <w:t>本院录取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2、</w:t>
      </w:r>
      <w:r>
        <w:rPr>
          <w:rFonts w:hint="eastAsia" w:ascii="仿宋_GB2312" w:hAnsi="仿宋_GB2312" w:eastAsia="仿宋_GB2312" w:cs="仿宋_GB2312"/>
          <w:sz w:val="32"/>
          <w:szCs w:val="32"/>
        </w:rPr>
        <w:t>研究生入学考试成绩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400</w:t>
      </w:r>
      <w:r>
        <w:rPr>
          <w:rFonts w:hint="eastAsia" w:ascii="仿宋_GB2312" w:hAnsi="仿宋_GB2312" w:eastAsia="仿宋_GB2312" w:cs="仿宋_GB2312"/>
          <w:sz w:val="32"/>
          <w:szCs w:val="32"/>
        </w:rPr>
        <w:t>分以上（含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400</w:t>
      </w:r>
      <w:r>
        <w:rPr>
          <w:rFonts w:hint="eastAsia" w:ascii="仿宋_GB2312" w:hAnsi="仿宋_GB2312" w:eastAsia="仿宋_GB2312" w:cs="仿宋_GB2312"/>
          <w:sz w:val="32"/>
          <w:szCs w:val="32"/>
        </w:rPr>
        <w:t>分）且被“985”高校录取。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64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二、一等奖：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sz w:val="32"/>
          <w:szCs w:val="32"/>
        </w:rPr>
        <w:t>研究生入学考试成绩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350</w:t>
      </w:r>
      <w:r>
        <w:rPr>
          <w:rFonts w:hint="eastAsia" w:ascii="仿宋_GB2312" w:hAnsi="仿宋_GB2312" w:eastAsia="仿宋_GB2312" w:cs="仿宋_GB2312"/>
          <w:sz w:val="32"/>
          <w:szCs w:val="32"/>
        </w:rPr>
        <w:t>分以上（含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350</w:t>
      </w:r>
      <w:r>
        <w:rPr>
          <w:rFonts w:hint="eastAsia" w:ascii="仿宋_GB2312" w:hAnsi="仿宋_GB2312" w:eastAsia="仿宋_GB2312" w:cs="仿宋_GB2312"/>
          <w:sz w:val="32"/>
          <w:szCs w:val="32"/>
        </w:rPr>
        <w:t>分）且第一志愿被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本校</w:t>
      </w:r>
      <w:r>
        <w:rPr>
          <w:rFonts w:hint="eastAsia" w:ascii="仿宋_GB2312" w:hAnsi="仿宋_GB2312" w:eastAsia="仿宋_GB2312" w:cs="仿宋_GB2312"/>
          <w:sz w:val="32"/>
          <w:szCs w:val="32"/>
        </w:rPr>
        <w:t>本院录取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2、</w:t>
      </w:r>
      <w:r>
        <w:rPr>
          <w:rFonts w:hint="eastAsia" w:ascii="仿宋_GB2312" w:hAnsi="仿宋_GB2312" w:eastAsia="仿宋_GB2312" w:cs="仿宋_GB2312"/>
          <w:sz w:val="32"/>
          <w:szCs w:val="32"/>
        </w:rPr>
        <w:t>研究生入学考试成绩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380</w:t>
      </w:r>
      <w:r>
        <w:rPr>
          <w:rFonts w:hint="eastAsia" w:ascii="仿宋_GB2312" w:hAnsi="仿宋_GB2312" w:eastAsia="仿宋_GB2312" w:cs="仿宋_GB2312"/>
          <w:sz w:val="32"/>
          <w:szCs w:val="32"/>
        </w:rPr>
        <w:t>分以上（含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380</w:t>
      </w:r>
      <w:r>
        <w:rPr>
          <w:rFonts w:hint="eastAsia" w:ascii="仿宋_GB2312" w:hAnsi="仿宋_GB2312" w:eastAsia="仿宋_GB2312" w:cs="仿宋_GB2312"/>
          <w:sz w:val="32"/>
          <w:szCs w:val="32"/>
        </w:rPr>
        <w:t>分）且被“985”高校录取。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64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三、二等奖：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sz w:val="32"/>
          <w:szCs w:val="32"/>
        </w:rPr>
        <w:t>研究生入学考试成绩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330</w:t>
      </w:r>
      <w:r>
        <w:rPr>
          <w:rFonts w:hint="eastAsia" w:ascii="仿宋_GB2312" w:hAnsi="仿宋_GB2312" w:eastAsia="仿宋_GB2312" w:cs="仿宋_GB2312"/>
          <w:sz w:val="32"/>
          <w:szCs w:val="32"/>
        </w:rPr>
        <w:t>分以上（含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330</w:t>
      </w:r>
      <w:r>
        <w:rPr>
          <w:rFonts w:hint="eastAsia" w:ascii="仿宋_GB2312" w:hAnsi="仿宋_GB2312" w:eastAsia="仿宋_GB2312" w:cs="仿宋_GB2312"/>
          <w:sz w:val="32"/>
          <w:szCs w:val="32"/>
        </w:rPr>
        <w:t>分）且第一志愿被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本校</w:t>
      </w:r>
      <w:r>
        <w:rPr>
          <w:rFonts w:hint="eastAsia" w:ascii="仿宋_GB2312" w:hAnsi="仿宋_GB2312" w:eastAsia="仿宋_GB2312" w:cs="仿宋_GB2312"/>
          <w:sz w:val="32"/>
          <w:szCs w:val="32"/>
        </w:rPr>
        <w:t>本院录取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2、</w:t>
      </w:r>
      <w:r>
        <w:rPr>
          <w:rFonts w:hint="eastAsia" w:ascii="仿宋_GB2312" w:hAnsi="仿宋_GB2312" w:eastAsia="仿宋_GB2312" w:cs="仿宋_GB2312"/>
          <w:sz w:val="32"/>
          <w:szCs w:val="32"/>
        </w:rPr>
        <w:t>研究生入学考试成绩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360</w:t>
      </w:r>
      <w:r>
        <w:rPr>
          <w:rFonts w:hint="eastAsia" w:ascii="仿宋_GB2312" w:hAnsi="仿宋_GB2312" w:eastAsia="仿宋_GB2312" w:cs="仿宋_GB2312"/>
          <w:sz w:val="32"/>
          <w:szCs w:val="32"/>
        </w:rPr>
        <w:t>分以上（含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360</w:t>
      </w:r>
      <w:r>
        <w:rPr>
          <w:rFonts w:hint="eastAsia" w:ascii="仿宋_GB2312" w:hAnsi="仿宋_GB2312" w:eastAsia="仿宋_GB2312" w:cs="仿宋_GB2312"/>
          <w:sz w:val="32"/>
          <w:szCs w:val="32"/>
        </w:rPr>
        <w:t>分）且被“985”高校录取。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64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四、三等奖：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sz w:val="32"/>
          <w:szCs w:val="32"/>
        </w:rPr>
        <w:t>研究生入学考试成绩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310</w:t>
      </w:r>
      <w:r>
        <w:rPr>
          <w:rFonts w:hint="eastAsia" w:ascii="仿宋_GB2312" w:hAnsi="仿宋_GB2312" w:eastAsia="仿宋_GB2312" w:cs="仿宋_GB2312"/>
          <w:sz w:val="32"/>
          <w:szCs w:val="32"/>
        </w:rPr>
        <w:t>分以上（含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310</w:t>
      </w:r>
      <w:r>
        <w:rPr>
          <w:rFonts w:hint="eastAsia" w:ascii="仿宋_GB2312" w:hAnsi="仿宋_GB2312" w:eastAsia="仿宋_GB2312" w:cs="仿宋_GB2312"/>
          <w:sz w:val="32"/>
          <w:szCs w:val="32"/>
        </w:rPr>
        <w:t>分）且第一志愿被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本校</w:t>
      </w:r>
      <w:r>
        <w:rPr>
          <w:rFonts w:hint="eastAsia" w:ascii="仿宋_GB2312" w:hAnsi="仿宋_GB2312" w:eastAsia="仿宋_GB2312" w:cs="仿宋_GB2312"/>
          <w:sz w:val="32"/>
          <w:szCs w:val="32"/>
        </w:rPr>
        <w:t>本院录取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2、</w:t>
      </w:r>
      <w:r>
        <w:rPr>
          <w:rFonts w:hint="eastAsia" w:ascii="仿宋_GB2312" w:hAnsi="仿宋_GB2312" w:eastAsia="仿宋_GB2312" w:cs="仿宋_GB2312"/>
          <w:sz w:val="32"/>
          <w:szCs w:val="32"/>
        </w:rPr>
        <w:t>研究生入学考试成绩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340</w:t>
      </w:r>
      <w:r>
        <w:rPr>
          <w:rFonts w:hint="eastAsia" w:ascii="仿宋_GB2312" w:hAnsi="仿宋_GB2312" w:eastAsia="仿宋_GB2312" w:cs="仿宋_GB2312"/>
          <w:sz w:val="32"/>
          <w:szCs w:val="32"/>
        </w:rPr>
        <w:t>分以上（含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340</w:t>
      </w:r>
      <w:r>
        <w:rPr>
          <w:rFonts w:hint="eastAsia" w:ascii="仿宋_GB2312" w:hAnsi="仿宋_GB2312" w:eastAsia="仿宋_GB2312" w:cs="仿宋_GB2312"/>
          <w:sz w:val="32"/>
          <w:szCs w:val="32"/>
        </w:rPr>
        <w:t>分）且被“985”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或其他</w:t>
      </w:r>
      <w:r>
        <w:rPr>
          <w:rFonts w:hint="eastAsia" w:ascii="仿宋_GB2312" w:hAnsi="仿宋_GB2312" w:eastAsia="仿宋_GB2312" w:cs="仿宋_GB2312"/>
          <w:sz w:val="32"/>
          <w:szCs w:val="32"/>
        </w:rPr>
        <w:t>“211”高校录取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64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五、优秀奖：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免试攻读硕士学位研究生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64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bookmarkStart w:id="0" w:name="_GoBack"/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六、本评定细则由材料学院学工组负责解释。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righ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材料科学与工程学院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righ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2017年4月28日</w:t>
      </w:r>
    </w:p>
    <w:sectPr>
      <w:pgSz w:w="11906" w:h="16838"/>
      <w:pgMar w:top="1440" w:right="1417" w:bottom="1440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Microsoft JhengHei">
    <w:panose1 w:val="020B0604030504040204"/>
    <w:charset w:val="88"/>
    <w:family w:val="auto"/>
    <w:pitch w:val="default"/>
    <w:sig w:usb0="00000087" w:usb1="28AF4000" w:usb2="00000016" w:usb3="00000000" w:csb0="00100009" w:csb1="00000000"/>
  </w:font>
  <w:font w:name="MingLiU">
    <w:panose1 w:val="02020509000000000000"/>
    <w:charset w:val="88"/>
    <w:family w:val="auto"/>
    <w:pitch w:val="default"/>
    <w:sig w:usb0="A00002FF" w:usb1="28CFFCFA" w:usb2="00000016" w:usb3="00000000" w:csb0="00100001" w:csb1="0000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ingLiU_HKSCS">
    <w:panose1 w:val="02020500000000000000"/>
    <w:charset w:val="88"/>
    <w:family w:val="auto"/>
    <w:pitch w:val="default"/>
    <w:sig w:usb0="A00002FF" w:usb1="38CFFCFA" w:usb2="00000016" w:usb3="00000000" w:csb0="00100001" w:csb1="00000000"/>
  </w:font>
  <w:font w:name="MingLiU_HKSCS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51238C"/>
    <w:rsid w:val="08D50906"/>
    <w:rsid w:val="0D8A3FF4"/>
    <w:rsid w:val="1C6A5026"/>
    <w:rsid w:val="1D491680"/>
    <w:rsid w:val="20F41391"/>
    <w:rsid w:val="22EB0750"/>
    <w:rsid w:val="2CAC7F8B"/>
    <w:rsid w:val="34405CBD"/>
    <w:rsid w:val="38942E71"/>
    <w:rsid w:val="3CA83B8A"/>
    <w:rsid w:val="3CFA5EE9"/>
    <w:rsid w:val="43F05975"/>
    <w:rsid w:val="4541581F"/>
    <w:rsid w:val="48926E06"/>
    <w:rsid w:val="4C8E6996"/>
    <w:rsid w:val="4F7E3BB0"/>
    <w:rsid w:val="51672A06"/>
    <w:rsid w:val="63AB5B05"/>
    <w:rsid w:val="64F87E4D"/>
    <w:rsid w:val="6ED4495B"/>
    <w:rsid w:val="74D56304"/>
    <w:rsid w:val="797E4B6F"/>
    <w:rsid w:val="7B66158B"/>
    <w:rsid w:val="7E3025D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-SA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FollowedHyperlink"/>
    <w:basedOn w:val="4"/>
    <w:qFormat/>
    <w:uiPriority w:val="0"/>
    <w:rPr>
      <w:color w:val="000000"/>
      <w:u w:val="none"/>
    </w:rPr>
  </w:style>
  <w:style w:type="character" w:styleId="7">
    <w:name w:val="Hyperlink"/>
    <w:basedOn w:val="4"/>
    <w:qFormat/>
    <w:uiPriority w:val="0"/>
    <w:rPr>
      <w:color w:val="00000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2017-04-28T09:12:00Z</cp:lastPrinted>
  <dcterms:modified xsi:type="dcterms:W3CDTF">2017-05-01T12:38:30Z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